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8860B"/>
          <w:sz w:val="20"/>
          <w:szCs w:val="20"/>
        </w:rPr>
        <w:t xml:space="preserve">CHECKLIST DOKUMEN</w:t>
      </w:r>
    </w:p>
    <w:p>
      <w:pPr>
        <w:spacing w:after="100"/>
      </w:pPr>
      <w:r>
        <w:rPr>
          <w:b/>
          <w:bCs/>
          <w:color w:val="142B4C"/>
          <w:sz w:val="40"/>
          <w:szCs w:val="40"/>
        </w:rPr>
        <w:t xml:space="preserve">Syarat Pembuatan NPWP — 6 Jalur Pendaftaran</w:t>
      </w:r>
    </w:p>
    <w:p>
      <w:pPr>
        <w:pBdr>
          <w:bottom w:val="single" w:color="142B4C" w:sz="12" w:space="8"/>
        </w:pBdr>
        <w:spacing w:after="300"/>
      </w:pPr>
      <w:r>
        <w:rPr>
          <w:i/>
          <w:iCs/>
          <w:color w:val="595959"/>
          <w:sz w:val="22"/>
          <w:szCs w:val="22"/>
        </w:rPr>
        <w:t xml:space="preserve">Siapkan dokumen berikut sebelum mendaftar — pilih bagian yang sesuai dengan jalur pendaftaran Anda.</w:t>
      </w:r>
    </w:p>
    <w:p>
      <w:pPr>
        <w:pBdr>
          <w:bottom w:val="single" w:color="B8860B" w:sz="6" w:space="4"/>
        </w:pBdr>
        <w:spacing w:after="60" w:before="320"/>
      </w:pPr>
      <w:r>
        <w:rPr>
          <w:b/>
          <w:bCs/>
          <w:color w:val="B8860B"/>
          <w:sz w:val="20"/>
          <w:szCs w:val="20"/>
        </w:rPr>
        <w:t xml:space="preserve">METODE 1  </w:t>
      </w:r>
      <w:r>
        <w:rPr>
          <w:b/>
          <w:bCs/>
          <w:color w:val="142B4C"/>
          <w:sz w:val="28"/>
          <w:szCs w:val="28"/>
        </w:rPr>
        <w:t xml:space="preserve">Pendaftaran Mandiri Online (Coretax)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Untuk: WNA pekerja/pengusaha di Indonesia, orang pribadi “hanya registrasi”, atau badan baru di luar jalur OSS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KTP elektronik (untuk WNI)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Paspor + KITAS/KITAP (untuk WNA)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Email aktif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Nomor ponsel aktif (untuk verifikasi OTP)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Kesiapan verifikasi wajah — khusus orang pribadi WNI, dicocokkan dengan data Dukcapil</w:t>
      </w:r>
    </w:p>
    <w:p>
      <w:pPr>
        <w:pBdr>
          <w:bottom w:val="single" w:color="B8860B" w:sz="6" w:space="4"/>
        </w:pBdr>
        <w:spacing w:after="60" w:before="320"/>
      </w:pPr>
      <w:r>
        <w:rPr>
          <w:b/>
          <w:bCs/>
          <w:color w:val="B8860B"/>
          <w:sz w:val="20"/>
          <w:szCs w:val="20"/>
        </w:rPr>
        <w:t xml:space="preserve">METODE 2  </w:t>
      </w:r>
      <w:r>
        <w:rPr>
          <w:b/>
          <w:bCs/>
          <w:color w:val="142B4C"/>
          <w:sz w:val="28"/>
          <w:szCs w:val="28"/>
        </w:rPr>
        <w:t xml:space="preserve">Migrasi/Aktivasi NIK Menjadi NPWP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Untuk: karyawan/freelancer baru pertama kali kena pajak, NIK belum pernah divalidasi DJP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KTP elektronik dengan NIK aktif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Data pekerjaan/sumber penghasilan (untuk diisi di sistem)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Alamat domisili (menentukan KPP yang menaungi)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Perangkat dengan kamera untuk verifikasi biometrik wajah</w:t>
      </w:r>
    </w:p>
    <w:p>
      <w:pPr>
        <w:pBdr>
          <w:bottom w:val="single" w:color="B8860B" w:sz="6" w:space="4"/>
        </w:pBdr>
        <w:spacing w:after="60" w:before="320"/>
      </w:pPr>
      <w:r>
        <w:rPr>
          <w:b/>
          <w:bCs/>
          <w:color w:val="B8860B"/>
          <w:sz w:val="20"/>
          <w:szCs w:val="20"/>
        </w:rPr>
        <w:t xml:space="preserve">METODE 3  </w:t>
      </w:r>
      <w:r>
        <w:rPr>
          <w:b/>
          <w:bCs/>
          <w:color w:val="142B4C"/>
          <w:sz w:val="28"/>
          <w:szCs w:val="28"/>
        </w:rPr>
        <w:t xml:space="preserve">Kunjungan Langsung ke KPP/KP2KP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Untuk: kendala teknis, kurang familiar proses digital, atau perlu dokumen fisik tambahan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KTP (WNI) atau paspor (WNA)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Dokumen pendukung sesuai kategori wajib pajak — mis. legalisasi dokumen tertentu untuk WNA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Bukti pengiriman — jika mendaftar via pos/jasa ekspedisi, bukan datang langsung</w:t>
      </w:r>
    </w:p>
    <w:p>
      <w:pPr>
        <w:pBdr>
          <w:bottom w:val="single" w:color="B8860B" w:sz="6" w:space="4"/>
        </w:pBdr>
        <w:spacing w:after="60" w:before="320"/>
      </w:pPr>
      <w:r>
        <w:rPr>
          <w:b/>
          <w:bCs/>
          <w:color w:val="B8860B"/>
          <w:sz w:val="20"/>
          <w:szCs w:val="20"/>
        </w:rPr>
        <w:t xml:space="preserve">METODE 4  </w:t>
      </w:r>
      <w:r>
        <w:rPr>
          <w:b/>
          <w:bCs/>
          <w:color w:val="142B4C"/>
          <w:sz w:val="28"/>
          <w:szCs w:val="28"/>
        </w:rPr>
        <w:t xml:space="preserve">Otomatis Saat Pendirian Badan Usaha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Notaris → AHU → OSS — untuk pendiri PT/CV/yayasan baru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Akta pendirian yang sudah ditandatangani di hadapan notaris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KTP pengurus/pendiri — pastikan konsisten dengan data di akta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Alamat domisili usaha yang jelas dan konsisten dengan akta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Pastikan tidak ada tunggakan pajak dari pendiri yang bisa menghambat penerbitan NIB di OSS</w:t>
      </w:r>
    </w:p>
    <w:p>
      <w:pPr>
        <w:spacing w:after="140"/>
        <w:ind w:left="215"/>
      </w:pPr>
      <w:r>
        <w:rPr>
          <w:b/>
          <w:bCs/>
          <w:i/>
          <w:iCs/>
          <w:color w:val="B8860B"/>
          <w:sz w:val="20"/>
          <w:szCs w:val="20"/>
        </w:rPr>
        <w:t xml:space="preserve">Catatan: </w:t>
      </w:r>
      <w:r>
        <w:rPr>
          <w:i/>
          <w:iCs/>
          <w:color w:val="595959"/>
          <w:sz w:val="20"/>
          <w:szCs w:val="20"/>
        </w:rPr>
        <w:t xml:space="preserve">Dokumen ini untuk NPWP badan yang terbit otomatis — bukan pengajuan manual terpisah ke Coretax.</w:t>
      </w:r>
    </w:p>
    <w:p>
      <w:pPr>
        <w:pBdr>
          <w:bottom w:val="single" w:color="B8860B" w:sz="6" w:space="4"/>
        </w:pBdr>
        <w:spacing w:after="60" w:before="320"/>
      </w:pPr>
      <w:r>
        <w:rPr>
          <w:b/>
          <w:bCs/>
          <w:color w:val="B8860B"/>
          <w:sz w:val="20"/>
          <w:szCs w:val="20"/>
        </w:rPr>
        <w:t xml:space="preserve">METODE 5  </w:t>
      </w:r>
      <w:r>
        <w:rPr>
          <w:b/>
          <w:bCs/>
          <w:color w:val="142B4C"/>
          <w:sz w:val="28"/>
          <w:szCs w:val="28"/>
        </w:rPr>
        <w:t xml:space="preserve">Pendaftaran NITKU untuk Cabang/Tempat Kegiatan Usaha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Untuk: perusahaan multi-cabang — kantor cabang, gudang, unit pemasaran, dll.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Akun Coretax badan (kantor pusat) yang sudah aktif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Jenis tempat kegiatan usaha (TKU) yang akan didaftarkan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Nama TKU/cabang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Alamat lengkap cabang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Data pihak yang ditunjuk sebagai Penanggung Jawab (PIC) cabang</w:t>
      </w:r>
    </w:p>
    <w:p>
      <w:pPr>
        <w:pBdr>
          <w:bottom w:val="single" w:color="B8860B" w:sz="6" w:space="4"/>
        </w:pBdr>
        <w:spacing w:after="60" w:before="320"/>
      </w:pPr>
      <w:r>
        <w:rPr>
          <w:b/>
          <w:bCs/>
          <w:color w:val="B8860B"/>
          <w:sz w:val="20"/>
          <w:szCs w:val="20"/>
        </w:rPr>
        <w:t xml:space="preserve">METODE 6  </w:t>
      </w:r>
      <w:r>
        <w:rPr>
          <w:b/>
          <w:bCs/>
          <w:color w:val="142B4C"/>
          <w:sz w:val="28"/>
          <w:szCs w:val="28"/>
        </w:rPr>
        <w:t xml:space="preserve">Pendaftaran NPWP Instansi Pemerintah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Dokumen berbeda tergantung kategori instansi</w:t>
      </w:r>
    </w:p>
    <w:p>
      <w:pPr>
        <w:spacing w:after="80" w:before="160"/>
      </w:pPr>
      <w:r>
        <w:rPr>
          <w:b/>
          <w:bCs/>
          <w:color w:val="142B4C"/>
          <w:sz w:val="22"/>
          <w:szCs w:val="22"/>
        </w:rPr>
        <w:t xml:space="preserve">Pemerintah Pusat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Salinan dokumen daftar isian pelaksanaan anggaran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Surat keputusan penunjukan kuasa pengguna anggaran</w:t>
      </w:r>
    </w:p>
    <w:p>
      <w:pPr>
        <w:spacing w:after="80" w:before="160"/>
      </w:pPr>
      <w:r>
        <w:rPr>
          <w:b/>
          <w:bCs/>
          <w:color w:val="142B4C"/>
          <w:sz w:val="22"/>
          <w:szCs w:val="22"/>
        </w:rPr>
        <w:t xml:space="preserve">Pemerintah Pusat berbentuk Badan Layanan Umum (BLU)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Dua dokumen di atas (kategori Pemerintah Pusat)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Surat penetapan instansi yang menerapkan pola pengelolaan keuangan BLU</w:t>
      </w:r>
    </w:p>
    <w:p>
      <w:pPr>
        <w:spacing w:after="80" w:before="160"/>
      </w:pPr>
      <w:r>
        <w:rPr>
          <w:b/>
          <w:bCs/>
          <w:color w:val="142B4C"/>
          <w:sz w:val="22"/>
          <w:szCs w:val="22"/>
        </w:rPr>
        <w:t xml:space="preserve">Pemerintah Daerah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Salinan dokumen pelaksanaan anggaran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Surat pengangkatan kepala satuan kerja perangkat daerah/kabupaten/kota sebagai pengguna anggaran</w:t>
      </w:r>
    </w:p>
    <w:p>
      <w:pPr>
        <w:spacing w:after="80" w:before="160"/>
      </w:pPr>
      <w:r>
        <w:rPr>
          <w:b/>
          <w:bCs/>
          <w:color w:val="142B4C"/>
          <w:sz w:val="22"/>
          <w:szCs w:val="22"/>
        </w:rPr>
        <w:t xml:space="preserve">Pemerintah Daerah berbentuk BLU Daerah (BLUD)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Dua dokumen di atas (kategori Pemerintah Daerah)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Surat keputusan bupati/wali kota/gubernur soal penetapan pola pengelolaan keuangan BLUD</w:t>
      </w:r>
    </w:p>
    <w:p>
      <w:pPr>
        <w:spacing w:after="80" w:before="160"/>
      </w:pPr>
      <w:r>
        <w:rPr>
          <w:b/>
          <w:bCs/>
          <w:color w:val="142B4C"/>
          <w:sz w:val="22"/>
          <w:szCs w:val="22"/>
        </w:rPr>
        <w:t xml:space="preserve">Pemerintah Desa</w:t>
      </w:r>
    </w:p>
    <w:p>
      <w:pPr>
        <w:spacing w:after="90"/>
        <w:ind w:left="215"/>
      </w:pPr>
      <w:r>
        <w:rPr>
          <w:b/>
          <w:bCs/>
          <w:color w:val="142B4C"/>
          <w:sz w:val="24"/>
          <w:szCs w:val="24"/>
        </w:rPr>
        <w:t xml:space="preserve">☐  </w:t>
      </w:r>
      <w:r>
        <w:rPr>
          <w:i w:val="false"/>
          <w:iCs w:val="false"/>
          <w:color w:val="222222"/>
          <w:sz w:val="22"/>
          <w:szCs w:val="22"/>
        </w:rPr>
        <w:t xml:space="preserve">Surat pengangkatan kepala desa</w:t>
      </w:r>
    </w:p>
    <w:p>
      <w:pPr>
        <w:pBdr>
          <w:top w:val="single" w:color="B8860B" w:sz="4" w:space="8"/>
          <w:bottom w:val="single" w:color="B8860B" w:sz="4" w:space="8"/>
          <w:left w:val="single" w:color="B8860B" w:sz="4" w:space="8"/>
          <w:right w:val="single" w:color="B8860B" w:sz="4" w:space="8"/>
        </w:pBdr>
        <w:shd w:fill="F5EBD6" w:val="clear"/>
        <w:spacing w:before="400"/>
      </w:pPr>
      <w:r>
        <w:rPr>
          <w:b/>
          <w:bCs/>
          <w:color w:val="142B4C"/>
          <w:sz w:val="20"/>
          <w:szCs w:val="20"/>
        </w:rPr>
        <w:t xml:space="preserve">Sebelum mendaftar: </w:t>
      </w:r>
      <w:r>
        <w:rPr>
          <w:color w:val="444444"/>
          <w:sz w:val="20"/>
          <w:szCs w:val="20"/>
        </w:rPr>
        <w:t xml:space="preserve">pastikan seluruh data (nama, alamat, nomor identitas) konsisten di semua dokumen yang diunggah — ketidaksesuaian data adalah penyebab paling umum permohonan tertunda atau ditolak. Ketentuan Coretax terus disempurnakan; cek pembaruan terbaru di pajak.go.id sebelum mengajukan permohonan.</w:t>
      </w:r>
    </w:p>
    <w:sectPr>
      <w:headerReference w:type="default" r:id="rId7"/>
      <w:footerReference w:type="default" r:id="rId8"/>
      <w:pgSz w:w="11907" w:h="16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Halaman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dari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595959"/>
        <w:sz w:val="16"/>
        <w:szCs w:val="16"/>
      </w:rPr>
      <w:t xml:space="preserve">Checklist Syarat NPWP · Mekari Klikpajak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2026-07-28T07:28:35.560Z</dcterms:created>
  <dcterms:modified xsi:type="dcterms:W3CDTF">2026-07-28T07:28:35.573Z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